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</w:pPr>
      <w:r>
        <w:t>窗体顶端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color w:val="222222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color w:val="222222"/>
          <w:spacing w:val="0"/>
          <w:kern w:val="0"/>
          <w:sz w:val="44"/>
          <w:szCs w:val="44"/>
          <w:lang w:val="en-US" w:eastAsia="zh-CN"/>
        </w:rPr>
        <w:t>广元市市本级（含利州区）党政机关、事业单位2025—2027年公务用车租赁和包车服务项目入围结果公告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mallCaps w:val="0"/>
          <w:color w:val="222222"/>
          <w:spacing w:val="0"/>
          <w:kern w:val="0"/>
          <w:sz w:val="44"/>
          <w:szCs w:val="44"/>
          <w:lang w:val="en-US" w:eastAsia="zh-CN"/>
        </w:rPr>
      </w:pP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</w:pPr>
      <w:r>
        <w:t>窗体底端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一、征集项目概况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征集项目名称：广元市市本级（含利州区）党政机关、事业单位2025—2027年公务用车租赁和包车服务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征集项目编号：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kern w:val="0"/>
          <w:sz w:val="32"/>
          <w:szCs w:val="32"/>
          <w:lang w:val="en-US" w:eastAsia="zh-CN"/>
        </w:rPr>
        <w:t>SCFTCG2025-03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kern w:val="0"/>
          <w:sz w:val="32"/>
          <w:szCs w:val="32"/>
          <w:lang w:val="en-US" w:eastAsia="zh-CN"/>
        </w:rPr>
        <w:t>3.项目简介：保障市本级（含利州区）党政机关、事业单位2025-2027年公务用车租赁和包车服务。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二、征集人信息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征集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广元市机关事务服务中心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四川省广元市利州区利州东路一段955号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赵老师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0839-3090900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4、联系地址：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窗体顶端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三、入围供应商及产品（服务）信息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1.评审小组名单：汤毅、宋晓华、鲁娟、李碧仙、赵利强（征集单位代表）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2.分包名称: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包1：车辆租赁服务</w:t>
      </w:r>
    </w:p>
    <w:tbl>
      <w:tblPr>
        <w:tblStyle w:val="8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056"/>
        <w:gridCol w:w="1116"/>
        <w:gridCol w:w="5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入围供应商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  <w:t>响应报价（折扣）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  <w:t>服务标准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广元市金诚汽车租赁有限公司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59%</w:t>
            </w:r>
          </w:p>
        </w:tc>
        <w:tc>
          <w:tcPr>
            <w:tcW w:w="5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1.轿车运行费：1.8升及1.8升以下价格在18万以内的轿车（含同等排量的新能源混动轿车及18万元以内的纯电轿车）。基本租车费400公里内，350元/天，超400公里里程收费，0.8元/公里。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2.越野车1运行费：3.0升（含）以下价格在25万元以内的越野车400公里内（含同等排量的新能源混动越野车及纯电越野车），基本租车费400公里内，450元/天；超400公里里程收费，1元/公里；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3.越野车2运行费：3.0升以上及3.5升以下价格在50万元以内的越野车400公里内（含同等排量的新能源混动越野车及纯电越野车），基本租车费400公里内，600元/天；超400公里里程收费，1元/公里。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4.小型客车运行费：9座（不含）以下排量3.0升以下价格在25万元以内小型客车。基本租车费400公里内，480元/天；超400公里里程收费，1元/公里。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5.基本租车费用报价=〔车辆运行费400公里内（元/天）+超里程收费〕×折扣率。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6.租赁费用核算特别说明：(1)驾驶员劳务费用不超过180元/天(驾驶员按需提供)。(2)车辆燃油费、过路过桥费、泊车费、洗车等费用实报实销。（3）驾驶员住宿费参照广元市人民政府办公室关于印发《广元市市级机关差旅费管理办法》（广府办发〔2014〕19号） 广元市财政局转发省财政厅关于印发《四川省省直机关工作人员差旅费住宿费标准明细》（广财行〔2016〕）25号）的通知精神，供应商与车辆使用方协商一致，根据实际产生费用据实结算；用车单位未提供用餐的，餐费不超过每人每天60元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广元市广友汽车摩托车俱乐部服务有限公司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68%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广元市利元汽车租赁有限公司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70%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四川兴胜杰商贸有限公司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74.30%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广元宇华商贸有限公司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75%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广元市蓝宇汽车租赁有限责任公司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78.60%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广元市鼎盛汽车租赁有限公司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四川广运集团股份有限公司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广元交发交通服务集团有限公司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84%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10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广元市万路捷商务服务有限责任公司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88%</w:t>
            </w:r>
          </w:p>
        </w:tc>
        <w:tc>
          <w:tcPr>
            <w:tcW w:w="5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包2：包车服务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</w:p>
    <w:tbl>
      <w:tblPr>
        <w:tblStyle w:val="8"/>
        <w:tblW w:w="10117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266"/>
        <w:gridCol w:w="1547"/>
        <w:gridCol w:w="5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入围供应商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  <w:t>响应报价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  <w:t>（折扣）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0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四川广运集团旅游运输有限公司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96%</w:t>
            </w:r>
          </w:p>
        </w:tc>
        <w:tc>
          <w:tcPr>
            <w:tcW w:w="54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包车计费标准：①9-11座小型客车车型：基本包车费≦300公里，1100元/天；超300公里的里程，按3元/公里计费。②12--18座普通中级车型：基本包车费≦300公里，1700元/天；超300公里的里程，按3元/公里计费。 ③19-30座中高一级车型：基本包车费≦300公里，2200元/天；超300公里的里程，按3.5元/公里。 ④31-40座大高一级车型：基本包车费≦300公里内，2600元/天；超300公里的里程，按4元/公里计费。⑤41--52座大高一级车型：基本包车费≦300公里，3600元/天；超300公里的里程，按5.5元/公里计费。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基本包车费用报价=[包车费300公里内（元/天）+超里程收费〕×折扣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车费用核算特别说明：①基本包车费包含燃油费、过路过桥费、泊车费、洗车费、驾驶员劳务等费用。②驾驶员住宿费参照广元市人民政府办公室关于印发《广元市市级机关差旅费管理办法》（广府办发〔2014〕19号） 广元市财政局转发省财政厅关于印发《四川省省直机关工作人员差旅费住宿费标准明细》（广财行〔2016〕）25号）的通知精神，供应商与车辆使用方协商一致，根据实际产生费用据实结算；用车单位未提供用餐的，餐费不得超过每人每天60元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中核八二一广元运业有限公司  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94%  </w:t>
            </w:r>
          </w:p>
        </w:tc>
        <w:tc>
          <w:tcPr>
            <w:tcW w:w="5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四、采购代理服务收费标准及金额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代理服务费固定收取18000元。由入围供应商在领取入围通知书时平均分配支付至代理机构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五、公告期限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自本公告发布之日起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lang w:val="en-US" w:eastAsia="zh-CN"/>
        </w:rPr>
        <w:t>1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六、其他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lang w:eastAsia="zh-CN"/>
        </w:rPr>
        <w:t>补充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  <w:t>事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lang w:eastAsia="zh-CN"/>
        </w:rPr>
        <w:t>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/>
        </w:rPr>
        <w:t>本次框架协议入围供应商，可供市本级（含利州区）机关单位使用。若当年年度内本项目使用预算超过四川省政府采购限额标准，则由各单位按照四川省政府采购相关规定自行组织实施。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广元市机关事务服务中心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日  期： 2025年4月10日</w:t>
      </w:r>
    </w:p>
    <w:sectPr>
      <w:pgSz w:w="11906" w:h="16838"/>
      <w:pgMar w:top="1440" w:right="1803" w:bottom="1440" w:left="1803" w:header="851" w:footer="992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xi Sans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5C3C4"/>
    <w:multiLevelType w:val="singleLevel"/>
    <w:tmpl w:val="BDB5C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81F6E38"/>
    <w:rsid w:val="1EE1022E"/>
    <w:rsid w:val="1EF33837"/>
    <w:rsid w:val="20B424A8"/>
    <w:rsid w:val="24003A01"/>
    <w:rsid w:val="2AB32E1A"/>
    <w:rsid w:val="432808B6"/>
    <w:rsid w:val="57730A9D"/>
    <w:rsid w:val="62803AF9"/>
    <w:rsid w:val="6DBE6EAB"/>
    <w:rsid w:val="6EBA7783"/>
    <w:rsid w:val="7D1A09C4"/>
    <w:rsid w:val="7DFD436D"/>
    <w:rsid w:val="D9FEB246"/>
    <w:rsid w:val="EC7FDE85"/>
    <w:rsid w:val="FFA8B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bCs/>
      <w:kern w:val="0"/>
      <w:sz w:val="24"/>
      <w:szCs w:val="24"/>
      <w:lang w:val="en-US" w:eastAsia="zh-CN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  <w:outlineLvl w:val="4"/>
    </w:pPr>
    <w:rPr>
      <w:rFonts w:ascii="宋体" w:eastAsia="宋体" w:cs="宋体"/>
      <w:b/>
      <w:bCs/>
      <w:kern w:val="0"/>
      <w:sz w:val="20"/>
      <w:szCs w:val="20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FF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Courier New" w:hAnsi="Courier New"/>
      <w:sz w:val="20"/>
    </w:rPr>
  </w:style>
  <w:style w:type="character" w:styleId="19">
    <w:name w:val="HTML Sample"/>
    <w:basedOn w:val="9"/>
    <w:qFormat/>
    <w:uiPriority w:val="0"/>
    <w:rPr>
      <w:rFonts w:ascii="Courier New" w:hAnsi="Courier New"/>
    </w:rPr>
  </w:style>
  <w:style w:type="paragraph" w:customStyle="1" w:styleId="20">
    <w:name w:val="null3"/>
    <w:qFormat/>
    <w:uiPriority w:val="0"/>
    <w:rPr>
      <w:rFonts w:ascii="Calibri" w:hAnsi="Calibri" w:eastAsia="宋体" w:cs="Arial"/>
      <w:sz w:val="20"/>
      <w:szCs w:val="20"/>
      <w:lang w:val="en-US" w:eastAsia="zh-CN" w:bidi="ar-SA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3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24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1722</Words>
  <Characters>1963</Characters>
  <Lines>176</Lines>
  <Paragraphs>72</Paragraphs>
  <TotalTime>21</TotalTime>
  <ScaleCrop>false</ScaleCrop>
  <LinksUpToDate>false</LinksUpToDate>
  <CharactersWithSpaces>2022</CharactersWithSpaces>
  <Application>WPS Office_11.1.0.11704_F1E327BC-269C-435d-A152-05C5408002CA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2025-04-08T15:27:00Z</dcterms:created>
  <dc:creator>Arjen Robben</dc:creator>
  <cp:lastModifiedBy>uos</cp:lastModifiedBy>
  <cp:lastPrinted>2025-04-10T15:49:00Z</cp:lastPrinted>
  <dcterms:modified xsi:type="dcterms:W3CDTF">2025-04-10T17:26:04Z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3A50F189AAA5492194EDD2663CD5DFB8_13</vt:lpwstr>
  </property>
  <property fmtid="{D5CDD505-2E9C-101B-9397-08002B2CF9AE}" pid="4" name="KSOTemplateDocerSaveRecord">
    <vt:lpwstr>eyJoZGlkIjoiNDAwNzlkZjRhYjk1NWVjZjdlYWJiNGRhNjg1YWE5ZTcifQ==</vt:lpwstr>
  </property>
</Properties>
</file>